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Изображение1" descr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pacing w:val="-20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36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tabs>
          <w:tab w:val="clear" w:pos="708" w:leader="none"/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b/>
          <w:color w:val="0000ff"/>
          <w:sz w:val="36"/>
          <w:szCs w:val="40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21" w:firstLine="0"/>
        <w:tabs>
          <w:tab w:val="clear" w:pos="708" w:leader="none"/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609-т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  <w:r/>
    </w:p>
    <w:p>
      <w:pPr>
        <w:pStyle w:val="852"/>
        <w:ind w:left="0" w:right="228" w:firstLine="720"/>
        <w:jc w:val="center"/>
        <w:rPr>
          <w:rFonts w:ascii="Liberation Sans" w:hAnsi="Liberation Sans" w:cs="Liberation Sans"/>
          <w:color w:val="0000ff"/>
          <w:sz w:val="24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1"/>
        <w:ind w:left="0" w:right="0"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pStyle w:val="762"/>
        <w:jc w:val="left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тепл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овую энергию (мощность), производимую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образования город Муравленко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долгосрочных параметров регулирования тарифов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27 июля 2010 года </w:t>
        <w:br/>
        <w:t xml:space="preserve">№ 190-ФЗ «О теплоснабжении», постановлением Правительства Российской Федерации от 22 октября 2012 года № 1075 </w:t>
        <w:br/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 ценообразовании в сфере теплоснабжения», </w:t>
      </w:r>
      <w:hyperlink r:id="rId9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 Ямало-Ненецкого автономного округа от 01 декабря 2014 года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№ 107-ЗАО «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 установлении отдельных категорий потребителей коммунальных ресурсов и коммунальной услуги по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обращению </w:t>
        <w:br/>
        <w:t xml:space="preserve">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</w:t>
        <w:br/>
        <w:t xml:space="preserve">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pStyle w:val="76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Установить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 город Муравленко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согласно </w:t>
      </w:r>
      <w:hyperlink r:id="rId10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b w:val="0"/>
            <w:bCs w:val="0"/>
            <w:sz w:val="28"/>
            <w:szCs w:val="28"/>
            <w:lang w:eastAsia="ru-RU"/>
          </w:rPr>
          <w:t xml:space="preserve">приложениям №№ 1, 2</w:t>
        </w:r>
      </w:hyperlink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  <w:lang w:eastAsia="ru-RU"/>
        </w:rPr>
        <w:t xml:space="preserve">.</w:t>
      </w:r>
      <w:r>
        <w:rPr>
          <w:b w:val="0"/>
          <w:bCs w:val="0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2.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долгосроч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ные </w:t>
      </w:r>
      <w:hyperlink r:id="rId11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улирования тарифов </w:t>
        <w:br/>
        <w:t xml:space="preserve">на долгосрочный период регулирования для формирования тарифов </w:t>
        <w:br/>
        <w:t xml:space="preserve">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на 2024 - 2028 годы согласно приложению № 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BAC628E224D104ADC519E838DD6802799E906B6AF1B1178872109DEC959B4181D604DD937B489E61E41B1519D8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установленные в пункте 1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pStyle w:val="762"/>
        <w:contextualSpacing/>
        <w:ind w:firstLine="709"/>
        <w:jc w:val="both"/>
        <w:spacing w:before="0"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4. Долгосрочные </w:t>
      </w:r>
      <w:hyperlink r:id="rId13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регулирования тарифов, установленные в пункте 2 настоящего приказа, действуют 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numPr>
          <w:ilvl w:val="0"/>
          <w:numId w:val="0"/>
        </w:numPr>
        <w:ind w:lef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-142" w:firstLine="0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0" w:footer="0" w:gutter="0"/>
          <w:cols w:num="1" w:sep="0" w:space="1701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609-т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7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город Муравленко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2425"/>
        <w:gridCol w:w="2010"/>
        <w:gridCol w:w="1169"/>
        <w:gridCol w:w="2028"/>
        <w:gridCol w:w="1052"/>
        <w:gridCol w:w="864"/>
        <w:gridCol w:w="1152"/>
        <w:gridCol w:w="981"/>
        <w:gridCol w:w="979"/>
        <w:gridCol w:w="192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Острый и редуцирован-ный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2,5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от 7,0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vAlign w:val="center"/>
            <w:textDirection w:val="lrTb"/>
            <w:noWrap w:val="false"/>
          </w:tcPr>
          <w:p>
            <w:pPr>
              <w:pStyle w:val="762"/>
              <w:contextualSpacing/>
              <w:jc w:val="center"/>
              <w:spacing w:before="0" w:after="0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Муравленко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4221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4373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4448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4448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4525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4525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4603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4603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0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dxa"/>
            <w:vAlign w:val="center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4682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609-т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Льготные тарифы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  <w:lang w:eastAsia="ru-RU"/>
        </w:rPr>
        <w:t xml:space="preserve">на тепловую энергию (мощность), производимую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«Ямалкоммунэнерго»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и поставляемую потребителям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муниципального образования город Муравленко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pStyle w:val="847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</w:rPr>
      </w:r>
      <w:r>
        <w:rPr>
          <w:rFonts w:ascii="Liberation Sans" w:hAnsi="Liberation Sans" w:cs="Liberation Sans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67"/>
        <w:gridCol w:w="22"/>
        <w:gridCol w:w="2403"/>
        <w:gridCol w:w="2030"/>
        <w:gridCol w:w="1186"/>
        <w:gridCol w:w="2013"/>
        <w:gridCol w:w="1103"/>
        <w:gridCol w:w="841"/>
        <w:gridCol w:w="1178"/>
        <w:gridCol w:w="1014"/>
        <w:gridCol w:w="923"/>
        <w:gridCol w:w="1868"/>
      </w:tblGrid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Акционерное общество «Ямалкоммунэнерго»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2"/>
                <w:szCs w:val="22"/>
              </w:rPr>
              <w:t xml:space="preserve">филиал акционерного общества «Ямалкоммунэнерго» в городе Муравленко «Тепло»)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1449,37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1565,31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5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3"/>
                <w:szCs w:val="23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(тарифы указываются с учетом НДС)</w:t>
            </w: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gridBefore w:val="1"/>
          <w:jc w:val="center"/>
          <w:trHeight w:val="5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1739,24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1878,37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1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30.06.2028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gridBefore w:val="1"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3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p>
      <w:pPr>
        <w:pStyle w:val="846"/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(теплоснабжения).</w:t>
      </w:r>
      <w:r>
        <w:rPr>
          <w:rFonts w:ascii="Liberation Sans" w:hAnsi="Liberation Sans" w:eastAsia="Liberation Serif" w:cs="Liberation Sans"/>
          <w:sz w:val="18"/>
          <w:szCs w:val="18"/>
        </w:rPr>
        <w:tab/>
      </w:r>
      <w:r>
        <w:rPr>
          <w:rFonts w:ascii="Liberation Sans" w:hAnsi="Liberation Sans" w:cs="Liberation Sans"/>
        </w:rPr>
      </w:r>
      <w:r/>
    </w:p>
    <w:p>
      <w:pPr>
        <w:ind w:left="0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№ 3</w:t>
      </w:r>
      <w:r>
        <w:rPr>
          <w:rFonts w:ascii="Liberation Sans" w:hAnsi="Liberation Sans" w:cs="Liberation Sans"/>
        </w:rPr>
      </w:r>
      <w:r/>
    </w:p>
    <w:p>
      <w:pPr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762"/>
        <w:ind w:left="9923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ind w:left="9912"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609-т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76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Долгосрочные </w:t>
      </w:r>
      <w:hyperlink r:id="rId17" w:tooltip="consultantplus://offline/ref=BAC628E224D104ADC519E838DD6802799E906B6AF1B1178872109DEC959B4181D604DD937B489E61E41B1710DD178E70897D8832B865C52DA42DF8DEN3O7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регулирования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устанавливаемые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на долгосрочный период регулирования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для формирования тарифов с использованием метода индексации установленных тарифов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«Ямалкоммунэнерго» 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акционерного общества «Ямалкоммунэнерго» в городе Муравленко «Тепло»)</w:t>
      </w:r>
      <w:r>
        <w:rPr>
          <w:sz w:val="24"/>
          <w:szCs w:val="24"/>
        </w:rPr>
      </w:r>
      <w:r/>
    </w:p>
    <w:p>
      <w:pPr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2024 - 2028 годы</w:t>
      </w:r>
      <w:r>
        <w:rPr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tbl>
      <w:tblPr>
        <w:tblW w:w="5000" w:type="pct"/>
        <w:tblInd w:w="-102" w:type="dxa"/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284"/>
        <w:gridCol w:w="1607"/>
        <w:gridCol w:w="661"/>
        <w:gridCol w:w="1275"/>
        <w:gridCol w:w="858"/>
        <w:gridCol w:w="1097"/>
        <w:gridCol w:w="1213"/>
        <w:gridCol w:w="1265"/>
        <w:gridCol w:w="1013"/>
        <w:gridCol w:w="1252"/>
        <w:gridCol w:w="1266"/>
        <w:gridCol w:w="1263"/>
        <w:gridCol w:w="1353"/>
        <w:gridCol w:w="811"/>
      </w:tblGrid>
      <w:tr>
        <w:trPr>
          <w:cantSplit/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№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п/п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Наименование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регулируемой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организации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Год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Индекс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эффектив-ности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операционных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Нормативный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уровень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прибыли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Уровень надежности теплоснабжения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sz w:val="14"/>
                <w:szCs w:val="14"/>
              </w:rPr>
            </w:r>
            <w:hyperlink w:tooltip="#Par29" w:anchor="Par29" w:history="1">
              <w:r>
                <w:rPr>
                  <w:rFonts w:ascii="Liberation Sans" w:hAnsi="Liberation Sans" w:eastAsia="Liberation Serif" w:cs="Liberation Sans"/>
                  <w:strike w:val="0"/>
                  <w:color w:val="000000"/>
                  <w:sz w:val="14"/>
                  <w:szCs w:val="14"/>
                </w:rPr>
                <w:t xml:space="preserve">&lt;*&gt;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энергетической 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color w:val="auto"/>
                  <w:sz w:val="14"/>
                  <w:szCs w:val="14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Реализация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программ </w:t>
              <w:br/>
              <w:t xml:space="preserve">в </w:t>
            </w: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области энергосбережения и повышения</w:t>
            </w:r>
            <w:r>
              <w:rPr>
                <w:rFonts w:ascii="Liberation Sans" w:hAnsi="Liberation Sans" w:cs="Liberation Sans"/>
                <w:color w:val="auto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энергетической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trike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auto"/>
                <w:sz w:val="14"/>
                <w:szCs w:val="14"/>
              </w:rPr>
              <w:t xml:space="preserve">эффективности </w:t>
            </w:r>
            <w:hyperlink w:tooltip="#Par30" w:anchor="Par30" w:history="1">
              <w:r>
                <w:rPr>
                  <w:rFonts w:ascii="Liberation Sans" w:hAnsi="Liberation Sans" w:eastAsia="Liberation Serif" w:cs="Liberation Sans"/>
                  <w:strike w:val="0"/>
                  <w:color w:val="auto"/>
                  <w:sz w:val="14"/>
                  <w:szCs w:val="14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restart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Динамика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изменения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расходов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</w:rPr>
              <w:t xml:space="preserve">на топливо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4"/>
                <w:szCs w:val="14"/>
              </w:rPr>
            </w:pPr>
            <w:r>
              <w:rPr>
                <w:rFonts w:ascii="Liberation Sans" w:hAnsi="Liberation Sans" w:cs="Liberation Sans"/>
                <w:color w:val="auto"/>
                <w:sz w:val="14"/>
                <w:szCs w:val="14"/>
              </w:rPr>
            </w:r>
            <w:hyperlink w:tooltip="#Par31" w:anchor="Par31" w:history="1">
              <w:r>
                <w:rPr>
                  <w:rFonts w:ascii="Liberation Sans" w:hAnsi="Liberation Sans" w:eastAsia="Liberation Serif" w:cs="Liberation Sans"/>
                  <w:color w:val="auto"/>
                  <w:sz w:val="14"/>
                  <w:szCs w:val="14"/>
                </w:rPr>
                <w:t xml:space="preserve">&lt;***&gt;</w:t>
              </w:r>
            </w:hyperlink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</w:tr>
      <w:tr>
        <w:trPr>
          <w:cantSplit/>
          <w:trHeight w:val="2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тепловых сетях на 1 км тепловых сетей в целом по организации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tabs>
                <w:tab w:val="clear" w:pos="708" w:leader="none"/>
                <w:tab w:val="left" w:pos="747" w:leader="none"/>
              </w:tabs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Количество прекращений подачи тепловой энергии, в результате технологических нарушений на источниках тепловой энергии на </w:t>
            </w: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4"/>
                <w:szCs w:val="14"/>
              </w:rPr>
              <w:t xml:space="preserve">1 Гкал/час установленной мощности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</w:rPr>
              <w:t xml:space="preserve">Удельный расход топлива на производство единицы тепловой энергии, отпускаемой с коллекторов источников тепловой энергии</w:t>
            </w:r>
            <w:r>
              <w:rPr>
                <w:rFonts w:ascii="Liberation Sans" w:hAnsi="Liberation Sans" w:cs="Liberation Sans"/>
                <w:sz w:val="14"/>
                <w:szCs w:val="1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4"/>
                <w:szCs w:val="1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14"/>
                <w:szCs w:val="14"/>
                <w:highlight w:val="white"/>
              </w:rPr>
              <w:t xml:space="preserve">Величина технологических потерь при передаче тепловой энергии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color w:val="auto"/>
                <w:sz w:val="16"/>
                <w:szCs w:val="16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  <w:highlight w:val="white"/>
              </w:rPr>
              <w:t xml:space="preserve">Отношение величины технологических потерь тепловой энергии </w:t>
              <w:br/>
              <w:t xml:space="preserve">к материальной характеристике тепловой се</w:t>
            </w:r>
            <w:r>
              <w:rPr>
                <w:rFonts w:ascii="Liberation Sans" w:hAnsi="Liberation Sans" w:eastAsia="Liberation Serif" w:cs="Liberation Sans"/>
                <w:color w:val="auto"/>
                <w:sz w:val="14"/>
                <w:szCs w:val="14"/>
                <w:highlight w:val="white"/>
              </w:rPr>
              <w:t xml:space="preserve">ти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strike w:val="0"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</w:tr>
      <w:tr>
        <w:trPr>
          <w:cantSplit/>
          <w:trHeight w:val="5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тыс.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ед/км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ед/(Гкал/час)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 газ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кг у.т./Гкал,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диз.топливо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Гкал/кв.м.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16"/>
                <w:szCs w:val="16"/>
              </w:rPr>
            </w:pPr>
            <w:r>
              <w:rPr>
                <w:rFonts w:ascii="Liberation Sans" w:hAnsi="Liberation Sans" w:eastAsia="Liberation Serif" w:cs="Liberation Sans"/>
                <w:sz w:val="16"/>
                <w:szCs w:val="16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1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762"/>
              <w:jc w:val="both"/>
              <w:widowControl w:val="off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2"/>
                <w:szCs w:val="22"/>
              </w:rPr>
              <w:t xml:space="preserve">1.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Акционерное общество «Ямалкоммун-энерго»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(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0"/>
                <w:szCs w:val="20"/>
              </w:rPr>
              <w:t xml:space="preserve">филиал акционерного общества «Ямалкоммун-энерго» </w:t>
              <w:br/>
              <w:t xml:space="preserve">в городе Муравленко «Тепло»)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448 576,40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1,95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160,64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104390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9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160,57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103450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160,57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103450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160,57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103450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7" w:type="dxa"/>
            <w:vMerge w:val="continue"/>
            <w:textDirection w:val="lrTb"/>
            <w:noWrap w:val="false"/>
          </w:tcPr>
          <w:p>
            <w:pPr>
              <w:pStyle w:val="762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2028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160,57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2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103450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2,9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3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trike w:val="0"/>
                <w:color w:val="000000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1" w:type="dxa"/>
            <w:vAlign w:val="center"/>
            <w:textDirection w:val="lrTb"/>
            <w:noWrap w:val="false"/>
          </w:tcPr>
          <w:p>
            <w:pPr>
              <w:pStyle w:val="762"/>
              <w:jc w:val="center"/>
              <w:widowControl w:val="off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62"/>
        <w:ind w:right="141" w:firstLine="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</w:rPr>
        <w:t xml:space="preserve">      </w:t>
      </w:r>
      <w:r>
        <w:rPr>
          <w:rFonts w:ascii="Liberation Sans" w:hAnsi="Liberation Sans" w:eastAsia="Liberation Serif" w:cs="Liberation Sans"/>
          <w:strike w:val="0"/>
          <w:color w:val="000000"/>
        </w:rPr>
        <w:t xml:space="preserve">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    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&lt;*&gt; Уровень надежности теплоснабжения (фактические значения пока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зателей надежности и качества, определенные за год, предшествующий году установления тарифов на первый год долгосрочного периода регулирования, а также плановые значения показателей надежности и качества на каждый год долгосрочного периода регулирования).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pStyle w:val="762"/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&lt;**&gt; Заполняется в слу</w:t>
      </w: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  <w:t xml:space="preserve">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right="141" w:firstLine="540"/>
        <w:jc w:val="both"/>
        <w:tabs>
          <w:tab w:val="clear" w:pos="708" w:leader="none"/>
          <w:tab w:val="left" w:pos="15876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trike w:val="0"/>
          <w:color w:val="000000"/>
          <w:sz w:val="20"/>
          <w:szCs w:val="20"/>
        </w:rPr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&lt;***&gt; </w:t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Заполняется в случае, если орган регулирования применяет понижающий коэффициент на переходный период в соответствии с Правилами распределения расхода топлива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</w:r>
      <w:r>
        <w:rPr>
          <w:rFonts w:ascii="Liberation Sans" w:hAnsi="Liberation Sans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567" w:right="1134" w:bottom="397" w:left="56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Open Sans">
    <w:panose1 w:val="020B06060305040202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2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63">
    <w:name w:val="Heading 1"/>
    <w:uiPriority w:val="9"/>
    <w:qFormat/>
    <w:pPr>
      <w:jc w:val="left"/>
      <w:keepLines/>
      <w:keepNext/>
      <w:spacing w:before="480" w:after="200"/>
      <w:widowControl/>
      <w:outlineLvl w:val="0"/>
    </w:pPr>
    <w:rPr>
      <w:rFonts w:ascii="Arial" w:hAnsi="Arial" w:eastAsia="Arial" w:cs="Arial"/>
      <w:color w:val="auto"/>
      <w:sz w:val="40"/>
      <w:szCs w:val="40"/>
      <w:lang w:val="ru-RU" w:eastAsia="zh-CN" w:bidi="ar-SA"/>
    </w:rPr>
  </w:style>
  <w:style w:type="paragraph" w:styleId="764">
    <w:name w:val="Heading 2"/>
    <w:uiPriority w:val="9"/>
    <w:unhideWhenUsed/>
    <w:qFormat/>
    <w:pPr>
      <w:jc w:val="left"/>
      <w:keepLines/>
      <w:keepNext/>
      <w:spacing w:before="360" w:after="200"/>
      <w:widowControl/>
      <w:outlineLvl w:val="1"/>
    </w:pPr>
    <w:rPr>
      <w:rFonts w:ascii="Arial" w:hAnsi="Arial" w:eastAsia="Arial" w:cs="Arial"/>
      <w:color w:val="auto"/>
      <w:sz w:val="34"/>
      <w:szCs w:val="20"/>
      <w:lang w:val="ru-RU" w:eastAsia="zh-CN" w:bidi="ar-SA"/>
    </w:rPr>
  </w:style>
  <w:style w:type="paragraph" w:styleId="765">
    <w:name w:val="Heading 3"/>
    <w:uiPriority w:val="9"/>
    <w:unhideWhenUsed/>
    <w:qFormat/>
    <w:pPr>
      <w:jc w:val="left"/>
      <w:keepLines/>
      <w:keepNext/>
      <w:spacing w:before="320" w:after="200"/>
      <w:widowControl/>
      <w:outlineLvl w:val="2"/>
    </w:pPr>
    <w:rPr>
      <w:rFonts w:ascii="Arial" w:hAnsi="Arial" w:eastAsia="Arial" w:cs="Arial"/>
      <w:color w:val="auto"/>
      <w:sz w:val="30"/>
      <w:szCs w:val="30"/>
      <w:lang w:val="ru-RU" w:eastAsia="zh-CN" w:bidi="ar-SA"/>
    </w:rPr>
  </w:style>
  <w:style w:type="paragraph" w:styleId="766">
    <w:name w:val="Heading 4"/>
    <w:basedOn w:val="762"/>
    <w:qFormat/>
    <w:pPr>
      <w:jc w:val="both"/>
      <w:keepNext/>
      <w:outlineLvl w:val="3"/>
    </w:pPr>
    <w:rPr>
      <w:sz w:val="24"/>
      <w:szCs w:val="24"/>
    </w:rPr>
  </w:style>
  <w:style w:type="paragraph" w:styleId="767">
    <w:name w:val="Heading 5"/>
    <w:uiPriority w:val="9"/>
    <w:unhideWhenUsed/>
    <w:qFormat/>
    <w:pPr>
      <w:jc w:val="left"/>
      <w:keepLines/>
      <w:keepNext/>
      <w:spacing w:before="320" w:after="200"/>
      <w:widowControl/>
      <w:outlineLvl w:val="4"/>
    </w:pPr>
    <w:rPr>
      <w:rFonts w:ascii="Arial" w:hAnsi="Arial" w:eastAsia="Arial" w:cs="Arial"/>
      <w:b/>
      <w:bCs/>
      <w:color w:val="auto"/>
      <w:sz w:val="24"/>
      <w:szCs w:val="24"/>
      <w:lang w:val="ru-RU" w:eastAsia="zh-CN" w:bidi="ar-SA"/>
    </w:rPr>
  </w:style>
  <w:style w:type="paragraph" w:styleId="768">
    <w:name w:val="Heading 6"/>
    <w:uiPriority w:val="9"/>
    <w:unhideWhenUsed/>
    <w:qFormat/>
    <w:pPr>
      <w:jc w:val="left"/>
      <w:keepLines/>
      <w:keepNext/>
      <w:spacing w:before="320" w:after="200"/>
      <w:widowControl/>
      <w:outlineLvl w:val="5"/>
    </w:pPr>
    <w:rPr>
      <w:rFonts w:ascii="Arial" w:hAnsi="Arial" w:eastAsia="Arial" w:cs="Arial"/>
      <w:b/>
      <w:bCs/>
      <w:color w:val="auto"/>
      <w:sz w:val="22"/>
      <w:szCs w:val="22"/>
      <w:lang w:val="ru-RU" w:eastAsia="zh-CN" w:bidi="ar-SA"/>
    </w:rPr>
  </w:style>
  <w:style w:type="paragraph" w:styleId="769">
    <w:name w:val="Heading 7"/>
    <w:uiPriority w:val="9"/>
    <w:unhideWhenUsed/>
    <w:qFormat/>
    <w:pPr>
      <w:jc w:val="left"/>
      <w:keepLines/>
      <w:keepNext/>
      <w:spacing w:before="320" w:after="200"/>
      <w:widowControl/>
      <w:outlineLvl w:val="6"/>
    </w:pPr>
    <w:rPr>
      <w:rFonts w:ascii="Arial" w:hAnsi="Arial" w:eastAsia="Arial" w:cs="Arial"/>
      <w:b/>
      <w:bCs/>
      <w:i/>
      <w:iCs/>
      <w:color w:val="auto"/>
      <w:sz w:val="22"/>
      <w:szCs w:val="22"/>
      <w:lang w:val="ru-RU" w:eastAsia="zh-CN" w:bidi="ar-SA"/>
    </w:rPr>
  </w:style>
  <w:style w:type="paragraph" w:styleId="770">
    <w:name w:val="Heading 8"/>
    <w:uiPriority w:val="9"/>
    <w:unhideWhenUsed/>
    <w:qFormat/>
    <w:pPr>
      <w:jc w:val="left"/>
      <w:keepLines/>
      <w:keepNext/>
      <w:spacing w:before="320" w:after="200"/>
      <w:widowControl/>
      <w:outlineLvl w:val="7"/>
    </w:pPr>
    <w:rPr>
      <w:rFonts w:ascii="Arial" w:hAnsi="Arial" w:eastAsia="Arial" w:cs="Arial"/>
      <w:i/>
      <w:iCs/>
      <w:color w:val="auto"/>
      <w:sz w:val="22"/>
      <w:szCs w:val="22"/>
      <w:lang w:val="ru-RU" w:eastAsia="zh-CN" w:bidi="ar-SA"/>
    </w:rPr>
  </w:style>
  <w:style w:type="paragraph" w:styleId="771">
    <w:name w:val="Heading 9"/>
    <w:uiPriority w:val="9"/>
    <w:unhideWhenUsed/>
    <w:qFormat/>
    <w:pPr>
      <w:jc w:val="left"/>
      <w:keepLines/>
      <w:keepNext/>
      <w:spacing w:before="320" w:after="200"/>
      <w:widowControl/>
      <w:outlineLvl w:val="8"/>
    </w:pPr>
    <w:rPr>
      <w:rFonts w:ascii="Arial" w:hAnsi="Arial" w:eastAsia="Arial" w:cs="Arial"/>
      <w:i/>
      <w:iCs/>
      <w:color w:val="auto"/>
      <w:sz w:val="21"/>
      <w:szCs w:val="21"/>
      <w:lang w:val="ru-RU" w:eastAsia="zh-CN" w:bidi="ar-SA"/>
    </w:rPr>
  </w:style>
  <w:style w:type="character" w:styleId="772">
    <w:name w:val="Heading 1 Char"/>
    <w:basedOn w:val="789"/>
    <w:uiPriority w:val="9"/>
    <w:qFormat/>
    <w:rPr>
      <w:rFonts w:ascii="Arial" w:hAnsi="Arial" w:eastAsia="Arial" w:cs="Arial"/>
      <w:sz w:val="40"/>
      <w:szCs w:val="40"/>
    </w:rPr>
  </w:style>
  <w:style w:type="character" w:styleId="773">
    <w:name w:val="Heading 2 Char"/>
    <w:basedOn w:val="789"/>
    <w:uiPriority w:val="9"/>
    <w:qFormat/>
    <w:rPr>
      <w:rFonts w:ascii="Arial" w:hAnsi="Arial" w:eastAsia="Arial" w:cs="Arial"/>
      <w:sz w:val="34"/>
    </w:rPr>
  </w:style>
  <w:style w:type="character" w:styleId="774">
    <w:name w:val="Heading 3 Char"/>
    <w:basedOn w:val="789"/>
    <w:uiPriority w:val="9"/>
    <w:qFormat/>
    <w:rPr>
      <w:rFonts w:ascii="Arial" w:hAnsi="Arial" w:eastAsia="Arial" w:cs="Arial"/>
      <w:sz w:val="30"/>
      <w:szCs w:val="30"/>
    </w:rPr>
  </w:style>
  <w:style w:type="character" w:styleId="775">
    <w:name w:val="Heading 4 Char"/>
    <w:basedOn w:val="78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6">
    <w:name w:val="Heading 5 Char"/>
    <w:basedOn w:val="78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7">
    <w:name w:val="Heading 6 Char"/>
    <w:basedOn w:val="78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8">
    <w:name w:val="Heading 7 Char"/>
    <w:basedOn w:val="78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9">
    <w:name w:val="Heading 8 Char"/>
    <w:basedOn w:val="7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0">
    <w:name w:val="Heading 9 Char"/>
    <w:basedOn w:val="78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789"/>
    <w:uiPriority w:val="10"/>
    <w:qFormat/>
    <w:rPr>
      <w:sz w:val="48"/>
      <w:szCs w:val="48"/>
    </w:rPr>
  </w:style>
  <w:style w:type="character" w:styleId="782">
    <w:name w:val="Subtitle Char"/>
    <w:basedOn w:val="789"/>
    <w:uiPriority w:val="11"/>
    <w:qFormat/>
    <w:rPr>
      <w:sz w:val="24"/>
      <w:szCs w:val="24"/>
    </w:rPr>
  </w:style>
  <w:style w:type="character" w:styleId="783">
    <w:name w:val="Quote Char"/>
    <w:uiPriority w:val="29"/>
    <w:qFormat/>
    <w:rPr>
      <w:i/>
    </w:rPr>
  </w:style>
  <w:style w:type="character" w:styleId="784">
    <w:name w:val="Intense Quote Char"/>
    <w:uiPriority w:val="30"/>
    <w:qFormat/>
    <w:rPr>
      <w:i/>
    </w:rPr>
  </w:style>
  <w:style w:type="character" w:styleId="785">
    <w:name w:val="Header Char"/>
    <w:basedOn w:val="789"/>
    <w:uiPriority w:val="99"/>
    <w:qFormat/>
  </w:style>
  <w:style w:type="character" w:styleId="786">
    <w:name w:val="Caption Char"/>
    <w:uiPriority w:val="99"/>
    <w:qFormat/>
  </w:style>
  <w:style w:type="character" w:styleId="787">
    <w:name w:val="Footnote Text Char"/>
    <w:uiPriority w:val="99"/>
    <w:qFormat/>
    <w:rPr>
      <w:sz w:val="18"/>
    </w:rPr>
  </w:style>
  <w:style w:type="character" w:styleId="788">
    <w:name w:val="Endnote Text Char"/>
    <w:uiPriority w:val="99"/>
    <w:qFormat/>
    <w:rPr>
      <w:sz w:val="20"/>
    </w:rPr>
  </w:style>
  <w:style w:type="character" w:styleId="789" w:default="1">
    <w:name w:val="Default Paragraph Font"/>
    <w:uiPriority w:val="1"/>
    <w:semiHidden/>
    <w:unhideWhenUsed/>
    <w:qFormat/>
  </w:style>
  <w:style w:type="character" w:styleId="79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9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9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9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 w:customStyle="1">
    <w:name w:val="Название Знак"/>
    <w:uiPriority w:val="10"/>
    <w:qFormat/>
    <w:rPr>
      <w:sz w:val="48"/>
      <w:szCs w:val="48"/>
    </w:rPr>
  </w:style>
  <w:style w:type="character" w:styleId="800" w:customStyle="1">
    <w:name w:val="Подзаголовок Знак"/>
    <w:uiPriority w:val="11"/>
    <w:qFormat/>
    <w:rPr>
      <w:sz w:val="24"/>
      <w:szCs w:val="24"/>
    </w:rPr>
  </w:style>
  <w:style w:type="character" w:styleId="801" w:customStyle="1">
    <w:name w:val="Цитата 2 Знак"/>
    <w:uiPriority w:val="29"/>
    <w:qFormat/>
    <w:rPr>
      <w:i/>
    </w:rPr>
  </w:style>
  <w:style w:type="character" w:styleId="802" w:customStyle="1">
    <w:name w:val="Выделенная цитата Знак"/>
    <w:uiPriority w:val="30"/>
    <w:qFormat/>
    <w:rPr>
      <w:i/>
    </w:rPr>
  </w:style>
  <w:style w:type="character" w:styleId="803" w:customStyle="1">
    <w:name w:val="Верхний колонтитул Знак"/>
    <w:uiPriority w:val="99"/>
    <w:qFormat/>
  </w:style>
  <w:style w:type="character" w:styleId="804" w:customStyle="1">
    <w:name w:val="Footer Char"/>
    <w:uiPriority w:val="99"/>
    <w:qFormat/>
  </w:style>
  <w:style w:type="character" w:styleId="805" w:customStyle="1">
    <w:name w:val="Нижний колонтитул Знак"/>
    <w:uiPriority w:val="99"/>
    <w:qFormat/>
  </w:style>
  <w:style w:type="character" w:styleId="806">
    <w:name w:val="Hyperlink"/>
    <w:uiPriority w:val="99"/>
    <w:unhideWhenUsed/>
    <w:rPr>
      <w:color w:val="0000ff"/>
      <w:u w:val="single"/>
    </w:rPr>
  </w:style>
  <w:style w:type="character" w:styleId="807" w:customStyle="1">
    <w:name w:val="Текст сноски Знак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 w:customStyle="1">
    <w:name w:val="Текст концевой сноски Знак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 w:customStyle="1">
    <w:name w:val="Основной текст Знак"/>
    <w:qFormat/>
    <w:rPr>
      <w:sz w:val="28"/>
      <w:szCs w:val="28"/>
    </w:rPr>
  </w:style>
  <w:style w:type="character" w:styleId="814" w:customStyle="1">
    <w:name w:val="Основной текст с отступом 2 Знак"/>
    <w:qFormat/>
    <w:rPr>
      <w:sz w:val="28"/>
      <w:szCs w:val="28"/>
    </w:rPr>
  </w:style>
  <w:style w:type="paragraph" w:styleId="815">
    <w:name w:val="Заголовок"/>
    <w:basedOn w:val="762"/>
    <w:next w:val="816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16">
    <w:name w:val="Body Text"/>
    <w:basedOn w:val="762"/>
    <w:pPr>
      <w:spacing w:before="0" w:after="120"/>
    </w:pPr>
    <w:rPr>
      <w:lang w:val="en-US" w:eastAsia="en-US"/>
    </w:rPr>
  </w:style>
  <w:style w:type="paragraph" w:styleId="817">
    <w:name w:val="List"/>
    <w:basedOn w:val="816"/>
    <w:rPr>
      <w:rFonts w:cs="Lohit Devanagari"/>
    </w:rPr>
  </w:style>
  <w:style w:type="paragraph" w:styleId="818">
    <w:name w:val="Caption"/>
    <w:uiPriority w:val="35"/>
    <w:semiHidden/>
    <w:unhideWhenUsed/>
    <w:qFormat/>
    <w:pPr>
      <w:jc w:val="left"/>
      <w:spacing w:before="0" w:after="0" w:line="276" w:lineRule="auto"/>
      <w:widowControl/>
    </w:pPr>
    <w:rPr>
      <w:rFonts w:ascii="Times New Roman" w:hAnsi="Times New Roman" w:eastAsia="Tahoma" w:cs="Lohit Devanagari"/>
      <w:b/>
      <w:bCs/>
      <w:color w:val="4f81bd"/>
      <w:sz w:val="18"/>
      <w:szCs w:val="18"/>
      <w:lang w:val="ru-RU" w:eastAsia="zh-CN" w:bidi="ar-SA"/>
    </w:rPr>
  </w:style>
  <w:style w:type="paragraph" w:styleId="819">
    <w:name w:val="Указатель"/>
    <w:basedOn w:val="762"/>
    <w:qFormat/>
    <w:pPr>
      <w:suppressLineNumbers/>
    </w:pPr>
    <w:rPr>
      <w:rFonts w:cs="Lohit Devanagari"/>
    </w:rPr>
  </w:style>
  <w:style w:type="paragraph" w:styleId="82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2">
    <w:name w:val="Title"/>
    <w:uiPriority w:val="10"/>
    <w:qFormat/>
    <w:pPr>
      <w:contextualSpacing/>
      <w:jc w:val="left"/>
      <w:spacing w:before="300" w:after="200"/>
      <w:widowControl/>
    </w:pPr>
    <w:rPr>
      <w:rFonts w:ascii="Times New Roman" w:hAnsi="Times New Roman" w:eastAsia="Tahoma" w:cs="Lohit Devanagari"/>
      <w:color w:val="auto"/>
      <w:sz w:val="48"/>
      <w:szCs w:val="48"/>
      <w:lang w:val="ru-RU" w:eastAsia="zh-CN" w:bidi="ar-SA"/>
    </w:rPr>
  </w:style>
  <w:style w:type="paragraph" w:styleId="823">
    <w:name w:val="Subtitle"/>
    <w:uiPriority w:val="11"/>
    <w:qFormat/>
    <w:pPr>
      <w:jc w:val="left"/>
      <w:spacing w:before="200" w:after="200"/>
      <w:widowControl/>
    </w:pPr>
    <w:rPr>
      <w:rFonts w:ascii="Times New Roman" w:hAnsi="Times New Roman" w:eastAsia="Tahoma" w:cs="Lohit Devanagari"/>
      <w:color w:val="auto"/>
      <w:sz w:val="24"/>
      <w:szCs w:val="24"/>
      <w:lang w:val="ru-RU" w:eastAsia="zh-CN" w:bidi="ar-SA"/>
    </w:rPr>
  </w:style>
  <w:style w:type="paragraph" w:styleId="82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ahoma" w:cs="Lohit Devanagari"/>
      <w:i/>
      <w:color w:val="auto"/>
      <w:sz w:val="20"/>
      <w:szCs w:val="20"/>
      <w:lang w:val="ru-RU" w:eastAsia="zh-CN" w:bidi="ar-SA"/>
    </w:rPr>
  </w:style>
  <w:style w:type="paragraph" w:styleId="826">
    <w:name w:val="Колонтитул"/>
    <w:basedOn w:val="762"/>
    <w:qFormat/>
  </w:style>
  <w:style w:type="paragraph" w:styleId="827">
    <w:name w:val="Head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8">
    <w:name w:val="Footer"/>
    <w:uiPriority w:val="99"/>
    <w:unhideWhenUsed/>
    <w:pPr>
      <w:jc w:val="left"/>
      <w:spacing w:before="0" w:after="0"/>
      <w:widowControl/>
      <w:tabs>
        <w:tab w:val="clear" w:pos="708" w:leader="none"/>
        <w:tab w:val="center" w:pos="7143" w:leader="none"/>
        <w:tab w:val="right" w:pos="14287" w:leader="none"/>
      </w:tabs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29">
    <w:name w:val="footnote text"/>
    <w:uiPriority w:val="99"/>
    <w:semiHidden/>
    <w:unhideWhenUsed/>
    <w:pPr>
      <w:jc w:val="left"/>
      <w:spacing w:before="0" w:after="40"/>
      <w:widowControl/>
    </w:pPr>
    <w:rPr>
      <w:rFonts w:ascii="Times New Roman" w:hAnsi="Times New Roman" w:eastAsia="Tahoma" w:cs="Lohit Devanagari"/>
      <w:color w:val="auto"/>
      <w:sz w:val="18"/>
      <w:szCs w:val="20"/>
      <w:lang w:val="ru-RU" w:eastAsia="zh-CN" w:bidi="ar-SA"/>
    </w:rPr>
  </w:style>
  <w:style w:type="paragraph" w:styleId="830">
    <w:name w:val="endnote text"/>
    <w:uiPriority w:val="99"/>
    <w:semiHidden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1">
    <w:name w:val="toc 1"/>
    <w:uiPriority w:val="39"/>
    <w:unhideWhenUsed/>
    <w:pPr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2">
    <w:name w:val="toc 2"/>
    <w:uiPriority w:val="39"/>
    <w:unhideWhenUsed/>
    <w:pPr>
      <w:ind w:left="283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3">
    <w:name w:val="toc 3"/>
    <w:uiPriority w:val="39"/>
    <w:unhideWhenUsed/>
    <w:pPr>
      <w:ind w:left="56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4">
    <w:name w:val="toc 4"/>
    <w:uiPriority w:val="39"/>
    <w:unhideWhenUsed/>
    <w:pPr>
      <w:ind w:left="850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5">
    <w:name w:val="toc 5"/>
    <w:uiPriority w:val="39"/>
    <w:unhideWhenUsed/>
    <w:pPr>
      <w:ind w:left="113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6">
    <w:name w:val="toc 6"/>
    <w:uiPriority w:val="39"/>
    <w:unhideWhenUsed/>
    <w:pPr>
      <w:ind w:left="1417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7">
    <w:name w:val="toc 7"/>
    <w:uiPriority w:val="39"/>
    <w:unhideWhenUsed/>
    <w:pPr>
      <w:ind w:left="1701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8">
    <w:name w:val="toc 8"/>
    <w:uiPriority w:val="39"/>
    <w:unhideWhenUsed/>
    <w:pPr>
      <w:ind w:left="1984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39">
    <w:name w:val="toc 9"/>
    <w:uiPriority w:val="39"/>
    <w:unhideWhenUsed/>
    <w:pPr>
      <w:ind w:left="2268" w:firstLine="0"/>
      <w:jc w:val="left"/>
      <w:spacing w:before="0" w:after="57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0">
    <w:name w:val="Index Heading"/>
    <w:basedOn w:val="815"/>
  </w:style>
  <w:style w:type="paragraph" w:styleId="841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2">
    <w:name w:val="table of figures"/>
    <w:uiPriority w:val="9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843">
    <w:name w:val="Balloon Text"/>
    <w:basedOn w:val="762"/>
    <w:semiHidden/>
    <w:qFormat/>
    <w:rPr>
      <w:rFonts w:ascii="Tahoma" w:hAnsi="Tahoma"/>
      <w:sz w:val="16"/>
      <w:szCs w:val="16"/>
    </w:rPr>
  </w:style>
  <w:style w:type="paragraph" w:styleId="844">
    <w:name w:val="Body Text Indent"/>
    <w:basedOn w:val="762"/>
    <w:pPr>
      <w:ind w:firstLine="708"/>
      <w:jc w:val="both"/>
    </w:pPr>
    <w:rPr>
      <w:sz w:val="24"/>
      <w:szCs w:val="24"/>
    </w:rPr>
  </w:style>
  <w:style w:type="paragraph" w:styleId="845" w:customStyle="1">
    <w:name w:val="Знак Знак Знак Знак"/>
    <w:basedOn w:val="762"/>
    <w:qFormat/>
    <w:pPr>
      <w:jc w:val="both"/>
      <w:spacing w:beforeAutospacing="1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qFormat/>
    <w:pPr>
      <w:ind w:firstLine="720"/>
      <w:jc w:val="left"/>
      <w:spacing w:before="0" w:after="0"/>
      <w:widowControl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7" w:customStyle="1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ahoma" w:cs="Lohit Devanagari"/>
      <w:b/>
      <w:bCs/>
      <w:color w:val="auto"/>
      <w:sz w:val="24"/>
      <w:szCs w:val="24"/>
      <w:lang w:val="ru-RU" w:eastAsia="ru-RU" w:bidi="ar-SA"/>
    </w:rPr>
  </w:style>
  <w:style w:type="paragraph" w:styleId="848" w:customStyle="1">
    <w:name w:val="ConsPlusCell"/>
    <w:qFormat/>
    <w:pPr>
      <w:jc w:val="left"/>
      <w:spacing w:before="0" w:after="0"/>
      <w:widowControl w:val="off"/>
    </w:pPr>
    <w:rPr>
      <w:rFonts w:ascii="Arial" w:hAnsi="Arial" w:eastAsia="Tahoma" w:cs="Lohit Devanagari"/>
      <w:color w:val="auto"/>
      <w:sz w:val="20"/>
      <w:szCs w:val="20"/>
      <w:lang w:val="ru-RU" w:eastAsia="ru-RU" w:bidi="ar-SA"/>
    </w:rPr>
  </w:style>
  <w:style w:type="paragraph" w:styleId="849">
    <w:name w:val="Body Text Indent 2"/>
    <w:basedOn w:val="762"/>
    <w:qFormat/>
    <w:pPr>
      <w:ind w:left="283" w:firstLine="0"/>
      <w:spacing w:before="0" w:after="120" w:line="480" w:lineRule="auto"/>
    </w:pPr>
    <w:rPr>
      <w:lang w:val="en-US" w:eastAsia="en-US"/>
    </w:rPr>
  </w:style>
  <w:style w:type="paragraph" w:styleId="850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Lohit Devanagari"/>
      <w:color w:val="auto"/>
      <w:sz w:val="20"/>
      <w:szCs w:val="20"/>
      <w:lang w:val="ru-RU" w:eastAsia="ru-RU" w:bidi="ar-SA"/>
    </w:rPr>
  </w:style>
  <w:style w:type="paragraph" w:styleId="851" w:customStyle="1">
    <w:name w:val="Обычный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</w:rPr>
  </w:style>
  <w:style w:type="paragraph" w:styleId="852" w:customStyle="1">
    <w:name w:val="Основной текст с отступом 2"/>
    <w:basedOn w:val="851"/>
    <w:qFormat/>
    <w:pPr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u w:val="none"/>
      <w:vertAlign w:val="baseline"/>
      <w:lang w:val="en-US" w:eastAsia="en-US" w:bidi="ar-SA"/>
    </w:rPr>
  </w:style>
  <w:style w:type="numbering" w:styleId="853" w:default="1">
    <w:name w:val="No List"/>
    <w:uiPriority w:val="99"/>
    <w:semiHidden/>
    <w:unhideWhenUsed/>
    <w:qFormat/>
  </w:style>
  <w:style w:type="table" w:styleId="8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365AED68EC0A6655463CE1D1A489055AE601029C57B406C19C50D6866798E59Dd1E3K" TargetMode="External"/><Relationship Id="rId10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1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2" Type="http://schemas.openxmlformats.org/officeDocument/2006/relationships/hyperlink" Target="consultantplus://offline/ref=BAC628E224D104ADC519E838DD6802799E906B6AF1B1178872109DEC959B4181D604DD937B489E61E41B1519D8178E70897D8832B865C52DA42DF8DEN3O7K" TargetMode="External"/><Relationship Id="rId13" Type="http://schemas.openxmlformats.org/officeDocument/2006/relationships/hyperlink" Target="consultantplus://offline/ref=BAC628E224D104ADC519E838DD6802799E906B6AF1B1178872109DEC959B4181D604DD937B489E61E41B1710DD178E70897D8832B865C52DA42DF8DEN3O7K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AC628E224D104ADC519E838DD6802799E906B6AF1B1178872109DEC959B4181D604DD937B489E61E41B1710DD178E70897D8832B865C52DA42DF8DEN3O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39</cp:revision>
  <dcterms:created xsi:type="dcterms:W3CDTF">2022-11-18T06:50:00Z</dcterms:created>
  <dcterms:modified xsi:type="dcterms:W3CDTF">2023-12-17T10:50:48Z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